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BE4729E" w:rsidR="006A6E99" w:rsidRPr="00700DAD" w:rsidRDefault="0001413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MAINE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D57FC7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D57FC7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D57FC7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D57FC7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8EAE" w14:textId="77777777" w:rsidR="00D57FC7" w:rsidRDefault="00D57FC7" w:rsidP="004B236D">
      <w:r>
        <w:separator/>
      </w:r>
    </w:p>
  </w:endnote>
  <w:endnote w:type="continuationSeparator" w:id="0">
    <w:p w14:paraId="2570B8A0" w14:textId="77777777" w:rsidR="00D57FC7" w:rsidRDefault="00D57FC7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437F" w14:textId="77777777" w:rsidR="00D57FC7" w:rsidRDefault="00D57FC7" w:rsidP="004B236D">
      <w:r>
        <w:separator/>
      </w:r>
    </w:p>
  </w:footnote>
  <w:footnote w:type="continuationSeparator" w:id="0">
    <w:p w14:paraId="734D082D" w14:textId="77777777" w:rsidR="00D57FC7" w:rsidRDefault="00D57FC7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14138"/>
    <w:rsid w:val="00026056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57FC7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3660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2022-02-10T21:20:00Z</dcterms:modified>
  <cp:category/>
</cp:coreProperties>
</file>